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1"/>
        <w:rPr/>
      </w:pPr>
      <w:bookmarkStart w:colFirst="0" w:colLast="0" w:name="_heading=h.w3pfyy2und8o" w:id="0"/>
      <w:bookmarkEnd w:id="0"/>
      <w:r w:rsidDel="00000000" w:rsidR="00000000" w:rsidRPr="00000000">
        <w:rPr>
          <w:rtl w:val="0"/>
        </w:rPr>
        <w:t xml:space="preserve">Norme redazionali di base e glossario per il progetto OnFoods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Il presente documento indica le norme redazionali di base e il glossario dei termini utili per il progetto OnFoods. Queste indicazioni sono valide per la redazione di testi su documenti, social, e siti web ma non sono vincolanti per testi grafici. Queste linee guida sono essenziali per mantenere la coerenza e la precisione nella comunicazione e nella documentazione relative al progetto. Si raccomanda di attenersi scrupolosamente a queste norme in tutte le forme di comunicazione scritta associate a OnFoods.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Per dubbi o richieste si prega di scrivere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communication@onfoods.it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Wordmark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Uso Corretto: "OnFoods"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Uso Scorretto: "ONFOODS", "Onfoods"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Nome del progetto, Abbreviazione e Payoff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Il nome esteso del progetto è: "OnFoods - Research and innovation network on food and nutrition Sustainability, Safety and Security - Working ON Foods"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Si può usare una forma abbreviata nei casi in cui quella estesa risulti inutilizzabile ed è la seguente: "Research and Innovation for Sustainable Food and Nutrition". Questa formula è anche il payoff inserito nel logo ufficiale di OnFoods.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Formule di riferimento al progetto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 ci si riferisce a OnFoods come al progetto di ricerca finanziato dal PNRR si usi le seguenti formule a piacimento: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"Il progetto OnFoods"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"Il partenariato OnFoods"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"Il partenariato finanziato dal PNRR OnFoods"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"Il partenariato esteso OnFoods"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etc…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 ci si riferisce a OnFoods come fondazione, ovvero all’organo direzionale del progetto si usi la seguente formula: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"La Fondazione OnFoods"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Uso del termine "Spoke"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L’uso c</w:t>
      </w:r>
      <w:r w:rsidDel="00000000" w:rsidR="00000000" w:rsidRPr="00000000">
        <w:rPr>
          <w:rtl w:val="0"/>
        </w:rPr>
        <w:t xml:space="preserve">orretto del termine Spoke è ad esempio il seguente: "Spoke 1"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Risulta scorretto usare il maiuscolo, ad es. "SPOKE 1" o il minuscolo, ad es. “spoke 1”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Titolo completo dello Spoke: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"Spoke 1, Global sustainability" (corretto),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"Spoke 1, GLOBAL SUSTAINABILITY"  (scorretto)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"Spoke 1, Global Sustainability" (scorretto)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Uso del termine Work Package e sue abbreviazioni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Package (corretto)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package (scorretto)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package (scorretto)</w:t>
        <w:br w:type="textWrapping"/>
      </w:r>
    </w:p>
    <w:p w:rsidR="00000000" w:rsidDel="00000000" w:rsidP="00000000" w:rsidRDefault="00000000" w:rsidRPr="00000000" w14:paraId="0000001F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Tale formula può essere sostituita per comodità anche dall’acronimo WP per cui non è necessario usare i punti. </w:t>
        <w:br w:type="textWrapping"/>
        <w:br w:type="textWrapping"/>
        <w:t xml:space="preserve">Qualora si voglia citare uno specifico Work Package si richiede di seguire la numerazione per come è mostra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nel sito web</w:t>
        </w:r>
      </w:hyperlink>
      <w:r w:rsidDel="00000000" w:rsidR="00000000" w:rsidRPr="00000000">
        <w:rPr>
          <w:rtl w:val="0"/>
        </w:rPr>
        <w:t xml:space="preserve">: WP 1.2, per il Work Package n° 2 dello Spoke 1, etc..</w:t>
      </w:r>
    </w:p>
    <w:p w:rsidR="00000000" w:rsidDel="00000000" w:rsidP="00000000" w:rsidRDefault="00000000" w:rsidRPr="00000000" w14:paraId="00000020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6. Sigle e acronimi che si possono usare in maiuscolo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 gli acronimi dei progetti di ricerca è consentito l’uso del maiuscolo: ad es. “Scientific Innovation, Technology and Sustainability: Governance and Regulation (SCIN-GO)”</w:t>
        <w:br w:type="textWrapping"/>
      </w:r>
    </w:p>
    <w:p w:rsidR="00000000" w:rsidDel="00000000" w:rsidP="00000000" w:rsidRDefault="00000000" w:rsidRPr="00000000" w14:paraId="0000002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Disclaimer ufficiali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In Italiano:</w:t>
      </w:r>
      <w:r w:rsidDel="00000000" w:rsidR="00000000" w:rsidRPr="00000000">
        <w:rPr>
          <w:rtl w:val="0"/>
        </w:rPr>
        <w:t xml:space="preserve"> Progetto finanziato nell'ambito del Piano Nazionale di Ripresa e Resilienza (PNR), Missione 4 Componente 2 Investimento 1.3 - Bando n. 341 del 15 marzo 2022 del Ministero dell'Università e della Ricerca finanziato dall'Unione Europea - NextGenerationEU; Codice progetto PE00000003, Decreto di Concessione n. 1550 dell'11 ottobre 2022 adottato dal Ministero dell'Università e della Ricerca, Titolo del progetto "OnFoods- Research and innovation network on food and nutrition Sustainability, Safety and Security - Working ON Foods".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In Inglese:</w:t>
      </w:r>
      <w:r w:rsidDel="00000000" w:rsidR="00000000" w:rsidRPr="00000000">
        <w:rPr>
          <w:rtl w:val="0"/>
        </w:rPr>
        <w:t xml:space="preserve"> Project funded under the National Recovery and Resilience Plan (NRRP), Mission 4 Component 2 Investment 1.3 - Call for tender No. 341 of 15 March 2022 of Italian Ministry of University and Research funded by the European Union - NextGenerationEU; Project code PE00000003, Concession Decree No. 1550 of 11 October 2022 adopted by the Italian Ministry of University and Research, Project title “OnFoods- Research and innovation network on food and nutrition Sustainability, Safety and Security - Working ON Foods”.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Glossario dei Termini Utili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“Spoke”</w:t>
      </w:r>
      <w:r w:rsidDel="00000000" w:rsidR="00000000" w:rsidRPr="00000000">
        <w:rPr>
          <w:rtl w:val="0"/>
        </w:rPr>
        <w:t xml:space="preserve"> – (Soggetto Realizzatore o esecutore) – È il Soggetto pubblico o operatore economico privato coinvolto nella realizzazione del Programma di ricerca e innovazione ed individuato nel rispetto della normativa comunitaria e nazionale applicabile. I rapporti tra l’Hub e gli Spoke sono disciplinati con accordi scritti.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“Soggetto affiliato allo Spoke”</w:t>
      </w:r>
      <w:r w:rsidDel="00000000" w:rsidR="00000000" w:rsidRPr="00000000">
        <w:rPr>
          <w:rtl w:val="0"/>
        </w:rPr>
        <w:t xml:space="preserve">: Soggetto pubblico o operatore economico privato di cui lo Spoke può avvalersi nella realizzazione delle attività tematiche di propria competenza.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“Ricerca Fondamentale”</w:t>
      </w:r>
      <w:r w:rsidDel="00000000" w:rsidR="00000000" w:rsidRPr="00000000">
        <w:rPr>
          <w:rtl w:val="0"/>
        </w:rPr>
        <w:t xml:space="preserve">: lavori sperimentali o teorici svolti soprattutto per acquisire nuove conoscenze sui fondamenti di fenomeni e di fatti osservabili senza che siano previste applicazioni o utilizzazioni commerciali dirette.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“Ricerca Industriale”</w:t>
      </w:r>
      <w:r w:rsidDel="00000000" w:rsidR="00000000" w:rsidRPr="00000000">
        <w:rPr>
          <w:rtl w:val="0"/>
        </w:rPr>
        <w:t xml:space="preserve">: ricerca pianificata o indagini critiche miranti ad acquisire nuove conoscenze e capacità da utilizzare per sviluppare nuovi prodotti, processi o servizi o per apportare un notevole miglioramento ai prodotti, processi o servizi esistenti, comprendente la creazione di componenti di sistemi complessi. Tale ricerca può includere la costruzione di prototipi in ambiente di laboratorio o in un ambiente dotato di interfacce di simulazione verso sistemi esistenti e la realizzazione di linee pilota, in particolare ai fini della convalida di tecnologie generiche.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“Sviluppo Sperimentale”</w:t>
      </w:r>
      <w:r w:rsidDel="00000000" w:rsidR="00000000" w:rsidRPr="00000000">
        <w:rPr>
          <w:rtl w:val="0"/>
        </w:rPr>
        <w:t xml:space="preserve">: l’acquisizione, la combinazione, la strutturazione e l’utilizzo delle conoscenze e capacità esistenti di natura scientifica, tecnologica, commerciale e di altro tipo allo scopo di sviluppare prodotti, processi o servizi nuovi o migliorati. Rientrano in questa definizione anche altre attività destinate alla definizione concettuale, alla pianificazione e alla documentazione di nuovi prodotti, processi o servizi.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“Infrastrutture e laboratori di ricerca”</w:t>
      </w:r>
      <w:r w:rsidDel="00000000" w:rsidR="00000000" w:rsidRPr="00000000">
        <w:rPr>
          <w:rtl w:val="0"/>
        </w:rPr>
        <w:t xml:space="preserve">: gli impianti, le risorse e i relativi servizi utilizzati dalla comunità scientifica per compiere ricerche nei rispettivi settori; sono compresi gli impianti o complessi di strumenti scientifici, le risorse basate sulla conoscenza quali collezioni, archivi o informazioni scientifiche strutturate e le infrastrutture basate sulle tecnologie abilitanti dell’informazione e della comunicazione, quali le reti di tipo GRID, il materiale informatico, il software e gli strumenti di comunicazione e ogni altro mezzo necessario per condurre la ricerca.</w:t>
      </w:r>
    </w:p>
    <w:sectPr>
      <w:headerReference r:id="rId9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-43702</wp:posOffset>
          </wp:positionH>
          <wp:positionV relativeFrom="paragraph">
            <wp:posOffset>-114299</wp:posOffset>
          </wp:positionV>
          <wp:extent cx="5987303" cy="6524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7303" cy="652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alatino Linotype" w:cs="Palatino Linotype" w:eastAsia="Palatino Linotype" w:hAnsi="Palatino Linotype"/>
        <w:lang w:val="en-US"/>
      </w:rPr>
    </w:rPrDefault>
    <w:pPrDefault>
      <w:pPr>
        <w:spacing w:after="300" w:before="300" w:line="33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30" w:before="390" w:lineRule="auto"/>
    </w:pPr>
    <w:rPr>
      <w:rFonts w:ascii="Palatino Linotype" w:cs="Palatino Linotype" w:eastAsia="Palatino Linotype" w:hAnsi="Palatino Linotype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160" w:before="48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3">
    <w:name w:val="heading 3"/>
    <w:basedOn w:val="Normal"/>
    <w:next w:val="Normal"/>
    <w:pPr>
      <w:spacing w:after="130" w:before="39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100" w:before="30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100" w:before="30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100" w:before="300" w:lineRule="auto"/>
    </w:pPr>
    <w:rPr>
      <w:rFonts w:ascii="Calibri" w:cs="Calibri" w:eastAsia="Calibri" w:hAnsi="Calibri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300" w:before="300" w:line="336"/>
    </w:pPr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link w:val="Heading1Char"/>
    <w:uiPriority w:val="9"/>
    <w:qFormat w:val="1"/>
    <w:pPr>
      <w:spacing w:after="180" w:before="540"/>
      <w:outlineLvl w:val="0"/>
    </w:pPr>
    <w:rPr>
      <w:rFonts w:asciiTheme="majorHAnsi" w:cstheme="majorBidi" w:eastAsiaTheme="majorEastAsia" w:hAnsiTheme="majorHAnsi"/>
      <w:b w:val="1"/>
      <w:bCs w:val="1"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 w:val="1"/>
    <w:pPr>
      <w:spacing w:after="160" w:before="480"/>
      <w:outlineLvl w:val="1"/>
    </w:pPr>
    <w:rPr>
      <w:rFonts w:asciiTheme="majorHAnsi" w:cstheme="majorBidi" w:eastAsiaTheme="majorEastAsia" w:hAnsiTheme="majorHAnsi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 w:val="1"/>
    <w:pPr>
      <w:spacing w:after="130" w:before="39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100" w:before="300"/>
      <w:outlineLvl w:val="3"/>
    </w:pPr>
    <w:rPr>
      <w:rFonts w:asciiTheme="majorHAnsi" w:cstheme="majorBidi" w:eastAsiaTheme="majorEastAsia" w:hAnsiTheme="majorHAnsi"/>
      <w:b w:val="1"/>
      <w:bCs w:val="1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6E5FB8"/>
    <w:pPr>
      <w:keepNext w:val="1"/>
      <w:keepLines w:val="1"/>
      <w:spacing w:after="100" w:before="300"/>
      <w:outlineLvl w:val="4"/>
    </w:pPr>
    <w:rPr>
      <w:rFonts w:asciiTheme="majorHAnsi" w:cstheme="majorBidi" w:eastAsiaTheme="majorEastAsia" w:hAnsiTheme="majorHAnsi"/>
      <w:i w:val="1"/>
      <w:iCs w:val="1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006E5FB8"/>
    <w:pPr>
      <w:keepNext w:val="1"/>
      <w:keepLines w:val="1"/>
      <w:spacing w:after="100" w:before="300"/>
      <w:outlineLvl w:val="5"/>
    </w:pPr>
    <w:rPr>
      <w:rFonts w:asciiTheme="majorHAnsi" w:cstheme="majorBidi" w:eastAsiaTheme="majorEastAsia" w:hAnsiTheme="majorHAnsi"/>
    </w:rPr>
  </w:style>
  <w:style w:type="paragraph" w:styleId="Quote">
    <w:name w:val="Quote"/>
    <w:basedOn w:val="Normal"/>
    <w:next w:val="Normal"/>
    <w:uiPriority w:val="10"/>
    <w:qFormat w:val="1"/>
    <w:pPr>
      <w:ind w:left="720"/>
    </w:pPr>
  </w:style>
  <w:style w:type="character" w:styleId="DefaultParagraphFont" w:default="1">
    <w:name w:val="Default Paragraph Font"/>
    <w:uiPriority w:val="1"/>
    <w:semiHidden w:val="1"/>
    <w:unhideWhenUsed w:val="1"/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000000" w:themeColor="accent1" w:themeShade="0000B5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Pr>
      <w:rFonts w:asciiTheme="majorHAnsi" w:cstheme="majorBidi" w:eastAsiaTheme="majorEastAsia" w:hAnsiTheme="majorHAnsi"/>
      <w:b w:val="1"/>
      <w:bCs w:val="1"/>
      <w:color w:val="000000" w:themeColor="accen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Pr>
      <w:rFonts w:asciiTheme="majorHAnsi" w:cstheme="majorBidi" w:eastAsiaTheme="majorEastAsia" w:hAnsiTheme="majorHAnsi"/>
      <w:b w:val="1"/>
      <w:bCs w:val="1"/>
      <w:color w:val="000000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06E5FB8"/>
    <w:rPr>
      <w:rFonts w:asciiTheme="majorHAnsi" w:cstheme="majorBidi" w:eastAsiaTheme="majorEastAsia" w:hAnsiTheme="majorHAnsi"/>
      <w:b w:val="1"/>
      <w:bCs w:val="1"/>
    </w:rPr>
  </w:style>
  <w:style w:type="character" w:styleId="Heading5Char" w:customStyle="1">
    <w:name w:val="Heading 5 Char"/>
    <w:basedOn w:val="DefaultParagraphFont"/>
    <w:link w:val="Heading5"/>
    <w:uiPriority w:val="9"/>
    <w:rsid w:val="006E5FB8"/>
    <w:rPr>
      <w:rFonts w:asciiTheme="majorHAnsi" w:cstheme="majorBidi" w:eastAsiaTheme="majorEastAsia" w:hAnsiTheme="majorHAnsi"/>
      <w:i w:val="1"/>
      <w:iCs w:val="1"/>
    </w:rPr>
  </w:style>
  <w:style w:type="character" w:styleId="Heading6Char" w:customStyle="1">
    <w:name w:val="Heading 6 Char"/>
    <w:basedOn w:val="DefaultParagraphFont"/>
    <w:link w:val="Heading6"/>
    <w:uiPriority w:val="9"/>
    <w:rsid w:val="006E5FB8"/>
    <w:rPr>
      <w:rFonts w:asciiTheme="majorHAnsi" w:cstheme="majorBidi" w:eastAsiaTheme="majorEastAsia" w:hAnsiTheme="majorHAnsi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character" w:styleId="Code">
    <w:name w:val="Code"/>
    <w:basedOn w:val="DefaultParagraphFont"/>
    <w:uiPriority w:val="24"/>
    <w:qFormat w:val="1"/>
    <w:rPr>
      <w:rFonts w:ascii="Consolas" w:cs="Consolas" w:hAnsi="Consolas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Caption">
    <w:name w:val="caption"/>
    <w:basedOn w:val="Normal"/>
    <w:next w:val="Normal"/>
    <w:uiPriority w:val="35"/>
    <w:unhideWhenUsed w:val="1"/>
    <w:qFormat w:val="1"/>
    <w:pPr>
      <w:spacing w:after="200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munication@onfoods.it" TargetMode="External"/><Relationship Id="rId8" Type="http://schemas.openxmlformats.org/officeDocument/2006/relationships/hyperlink" Target="https://onfoods.it/spokes/spoke-0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0lMZNxckUqyMq5YoI7JBIQYzaw==">CgMxLjAyDmgudzNwZnl5MnVuZDhvOAByITF0VUpMbTlVTzd4Vk1WbW9mNzRyMldDX2FTU3NvdjBiNA==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